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50" w:type="pct"/>
        <w:tblCellSpacing w:w="0" w:type="dxa"/>
        <w:tblInd w:w="-284" w:type="dxa"/>
        <w:tblCellMar>
          <w:top w:w="12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0"/>
        <w:gridCol w:w="1379"/>
      </w:tblGrid>
      <w:tr w:rsidR="00906081" w:rsidRPr="00906081" w:rsidTr="00906081">
        <w:trPr>
          <w:trHeight w:val="276"/>
          <w:tblCellSpacing w:w="0" w:type="dxa"/>
        </w:trPr>
        <w:tc>
          <w:tcPr>
            <w:tcW w:w="4299" w:type="pct"/>
            <w:vAlign w:val="center"/>
            <w:hideMark/>
          </w:tcPr>
          <w:p w:rsidR="00906081" w:rsidRPr="00906081" w:rsidRDefault="00906081" w:rsidP="0090608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0608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 w:rsidRPr="00906081">
              <w:rPr>
                <w:rFonts w:ascii="Tahoma" w:eastAsia="Times New Roman" w:hAnsi="Tahoma" w:cs="Tahoma"/>
                <w:color w:val="E30000"/>
                <w:sz w:val="28"/>
                <w:szCs w:val="28"/>
              </w:rPr>
              <w:t>Материально- техническое обеспечение и оснащённость образовательного процесса</w:t>
            </w:r>
          </w:p>
        </w:tc>
        <w:tc>
          <w:tcPr>
            <w:tcW w:w="701" w:type="pct"/>
            <w:tcMar>
              <w:top w:w="12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906081" w:rsidRPr="00906081" w:rsidRDefault="000C6E96" w:rsidP="0090608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6" w:tooltip="Главная" w:history="1">
              <w:r>
                <w:rPr>
                  <w:rFonts w:ascii="Verdana" w:eastAsia="Times New Roman" w:hAnsi="Verdana" w:cs="Times New Roman"/>
                  <w:color w:val="E30000"/>
                  <w:sz w:val="16"/>
                  <w:szCs w:val="16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" href="http://sadik3.ucoz.ru/" title="&quot;Главная&quot;" style="width:24pt;height:24pt" o:button="t"/>
                </w:pict>
              </w:r>
            </w:hyperlink>
          </w:p>
        </w:tc>
      </w:tr>
      <w:tr w:rsidR="00906081" w:rsidRPr="00906081" w:rsidTr="00906081">
        <w:trPr>
          <w:tblCellSpacing w:w="0" w:type="dxa"/>
        </w:trPr>
        <w:tc>
          <w:tcPr>
            <w:tcW w:w="5000" w:type="pct"/>
            <w:gridSpan w:val="2"/>
            <w:tcMar>
              <w:top w:w="120" w:type="dxa"/>
              <w:left w:w="0" w:type="dxa"/>
              <w:bottom w:w="0" w:type="dxa"/>
              <w:right w:w="60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9"/>
            </w:tblGrid>
            <w:tr w:rsidR="00906081" w:rsidRPr="00906081">
              <w:trPr>
                <w:tblCellSpacing w:w="0" w:type="dxa"/>
              </w:trPr>
              <w:tc>
                <w:tcPr>
                  <w:tcW w:w="0" w:type="auto"/>
                  <w:tcMar>
                    <w:top w:w="24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ind w:left="480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Тип здания:</w:t>
                  </w:r>
                  <w:r w:rsidRPr="00906081">
                    <w:rPr>
                      <w:rFonts w:ascii="Georgia" w:eastAsia="Times New Roman" w:hAnsi="Georgia" w:cs="Times New Roman"/>
                      <w:sz w:val="17"/>
                      <w:szCs w:val="17"/>
                    </w:rPr>
                    <w:t> </w:t>
                  </w:r>
                  <w:proofErr w:type="gramStart"/>
                  <w:r w:rsidR="000C6E96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одноэтажное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Год ввода в эксплуатацию:</w:t>
                  </w:r>
                  <w:r w:rsidRPr="00906081">
                    <w:rPr>
                      <w:rFonts w:ascii="Georgia" w:eastAsia="Times New Roman" w:hAnsi="Georgia" w:cs="Times New Roman"/>
                      <w:sz w:val="17"/>
                      <w:szCs w:val="17"/>
                    </w:rPr>
                    <w:t> </w:t>
                  </w:r>
                  <w:r w:rsidR="000C6E96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1963 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года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Фактическая наполняемость:</w:t>
                  </w:r>
                  <w:r w:rsidRPr="00906081">
                    <w:rPr>
                      <w:rFonts w:ascii="Georgia" w:eastAsia="Times New Roman" w:hAnsi="Georgia" w:cs="Times New Roman"/>
                      <w:color w:val="FF0000"/>
                      <w:sz w:val="17"/>
                      <w:szCs w:val="17"/>
                    </w:rPr>
                    <w:t> </w:t>
                  </w:r>
                  <w:r w:rsidR="000C6E96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25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детей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Количество групповых помещений:</w:t>
                  </w:r>
                  <w:r w:rsidRPr="00906081">
                    <w:rPr>
                      <w:rFonts w:ascii="Georgia" w:eastAsia="Times New Roman" w:hAnsi="Georgia" w:cs="Times New Roman"/>
                      <w:color w:val="FF0000"/>
                      <w:sz w:val="17"/>
                      <w:szCs w:val="17"/>
                    </w:rPr>
                    <w:t> </w:t>
                  </w:r>
                  <w:r w:rsidR="000C6E96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1</w:t>
                  </w:r>
                  <w:r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групп</w:t>
                  </w:r>
                  <w:r w:rsidR="000C6E96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а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ДОУ снабжено центральным отоплением, холодным и горячим водоснабжением, канализацией.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9"/>
                    </w:rPr>
                    <w:t>Информация о материально - техническом обеспечении образовательной деятельности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0000CD"/>
                      <w:sz w:val="17"/>
                    </w:rPr>
                    <w:t>В ДОУ функционируют специальные помещения: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кабинет заведующего;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пищеблок;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прачечная.</w:t>
                  </w:r>
                  <w:r w:rsidRPr="00906081">
                    <w:rPr>
                      <w:rFonts w:ascii="Georgia" w:eastAsia="Times New Roman" w:hAnsi="Georgia" w:cs="Times New Roman"/>
                      <w:sz w:val="17"/>
                      <w:szCs w:val="17"/>
                    </w:rPr>
                    <w:t>              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Все помещения оборудованы в соответствии с их функциональным назначением и соблюдением санитарно – гигиенических требований.  В ДОУ соблюдается санитарно – гигиенический режим. Ведётся постоянный контроль за выполнением графика генеральных уборок и соблюдением санитарно – гигиенических норм на группах, наличием моющих сре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дств дл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я мытья посуды, стирки белья и спецодежды.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Групповые помещения ДОУ имеют отдельные спальни, санузлы, приёмные комнаты, буфетные. 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Образовательная предметно-развивающая среда в группах организована в соответствии с ФГОС 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ДО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учетом возрастных и индивидуальных особенностей детей.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6"/>
                      <w:szCs w:val="16"/>
                    </w:rPr>
                    <w:t> 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Материально-техническое обеспечение </w:t>
                  </w: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воспитательно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-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В процессе образовательной деятельности используются печатные пособия, разработанные в соответствии с требованиями ФГОС 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ДО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Для обеспечения физической активности детей в помещениях ДОУ музыкальный зал  совмещается со 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спортивным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,  имеется необходимое стандартное физкультурное оборудование: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скамейки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,,</w:t>
                  </w:r>
                  <w:proofErr w:type="gramEnd"/>
                </w:p>
                <w:p w:rsidR="00906081" w:rsidRPr="00906081" w:rsidRDefault="00906081" w:rsidP="009060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резиновые и надувные мячи,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обручи,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скакалки,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Имеется достаточное количество различных атрибутов для проведения корригирующих упражнений для коррекции осанки, плоскостопия: мячи, рукавички, мячи-прыгуны, массажные коврики и дорожки. 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В каждой группе оборудованы спортивные уголки. Для организации работы на свежем воздухе есть спортивная площадка, полоса активного движения.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 w:val="17"/>
                    </w:rPr>
                    <w:t>Технические средства обучения: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компьютер – 1 (с выходом в интернет);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bookmarkStart w:id="0" w:name="_GoBack"/>
                  <w:bookmarkEnd w:id="0"/>
                  <w:r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принтер – 1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;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принтер+ксерокс+сканер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– 1;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Информация об условиях питания обучающихся.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Для обеспечения качественного питания пищеблок ДОУ оборудован необходимым кухонным оборудованием, отвечающим требованиям </w:t>
                  </w: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СаНПин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: </w:t>
                  </w:r>
                  <w:r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1 холодильник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, </w:t>
                  </w:r>
                  <w:r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1 морозильник, 2 разделочных столов   1  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электроплит</w:t>
                  </w:r>
                  <w:r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ы. Для хранения продуктов есть 1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помещения</w:t>
                  </w:r>
                  <w:proofErr w:type="gramStart"/>
                  <w:r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 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рационе детей ежедневно на завтрак - молочные каши, омлеты, бутерброды, 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lastRenderedPageBreak/>
                    <w:t>чай, кофе, какао; на второй завтрак - соки, витаминизированные напитки или свежие фрукты; на обед - свежие овощи или салаты, первые блюда, гарниры и вторые горячие мясные блюда, напитки; на полдник - кисломолочная продукция с выпечкой; на ужин - рыбные или творожные блюда. За основу составления примерного 10-дневного меню положены среднесуточные нормы питания на одного ребенка в день.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Приготовление блюд для детей ДОУ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</w:t>
                  </w: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витаминов</w:t>
                  </w:r>
                  <w:proofErr w:type="gramStart"/>
                  <w:r w:rsidRPr="00906081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.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З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акупка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продуктов питания производится по договорам с поставщиками. Все продукты имеют сертификат соответствия. Качество продуктов проверяется медицинским работником, завхозом и шеф-поваром. </w:t>
                  </w: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Бракеражная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комиссия осуществляет ежедневный контроль качества пищи. Дети обеспечены соответствующей посудой, для приёма пищи. Выдача пищи проходит согласно графику, с учётом тёплого и холодного времени года. Для родителей (законных представителей) ежедневно в фойе детского сада вывешивается меню, утверждённое заведующей ДОУ.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Информация об условиях охраны здоровья обучающихся.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  Медицинский персонал детского сада (представлен сотрудниками ГУЗ </w:t>
                  </w: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Добровской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ЦРБ) тщательно контролирует и координирует весь образовательный процесс в учреждении, следит за соблюдением правил, требований и норм.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 целях обеспечения охраны здоровья обучающихся проводятся следующие мероприятия: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ведение календаря профилактических прививок,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осмотр дошкольников на энтеробиоз,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регулярный осмотр воспитанников на педикулез,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измерение антропометрических данных,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работа </w:t>
                  </w: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бракеражной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комиссии,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системная работа по профилактике и предупреждению травматизма среди воспитанников во время образовательного процесса и соблюдения режимных моментов.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Информация о доступе к информационным системами и информационно-телекоммуникационным сетям и электронным ресурсам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В ДОУ  имеется доступ к сети Интернет по оптоволоконному каналу связи.  </w:t>
                  </w: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 w:val="17"/>
                    </w:rPr>
                    <w:t>Информационные системы, к которым имеется доступ в ДОУ: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«Электронный детский сад»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gramStart"/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 w:val="17"/>
                    </w:rPr>
                    <w:t>Обучающиеся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 w:val="17"/>
                    </w:rPr>
                    <w:t xml:space="preserve"> ДОУ 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не имеют доступа к электронным образовательным ресурсам.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 ДОУ ведутся мероприятия по соблюдению правил пожарной безопасности.</w:t>
                  </w:r>
                </w:p>
              </w:tc>
            </w:tr>
          </w:tbl>
          <w:p w:rsidR="00906081" w:rsidRPr="00906081" w:rsidRDefault="00906081" w:rsidP="0090608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:rsidR="00D02D57" w:rsidRPr="00906081" w:rsidRDefault="00D02D57" w:rsidP="00906081"/>
    <w:sectPr w:rsidR="00D02D57" w:rsidRPr="00906081" w:rsidSect="0002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3503"/>
    <w:multiLevelType w:val="multilevel"/>
    <w:tmpl w:val="C004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F42FF"/>
    <w:multiLevelType w:val="multilevel"/>
    <w:tmpl w:val="0856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C32D6"/>
    <w:multiLevelType w:val="multilevel"/>
    <w:tmpl w:val="17DA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61478"/>
    <w:multiLevelType w:val="multilevel"/>
    <w:tmpl w:val="FBAA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70697F"/>
    <w:multiLevelType w:val="multilevel"/>
    <w:tmpl w:val="FBEA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5B7109"/>
    <w:multiLevelType w:val="multilevel"/>
    <w:tmpl w:val="6A84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D55181"/>
    <w:multiLevelType w:val="multilevel"/>
    <w:tmpl w:val="F0B6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69F"/>
    <w:rsid w:val="00026853"/>
    <w:rsid w:val="000C6E96"/>
    <w:rsid w:val="00906081"/>
    <w:rsid w:val="00D02D57"/>
    <w:rsid w:val="00D1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69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90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060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dik3.uco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768</Words>
  <Characters>4378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Мурик</cp:lastModifiedBy>
  <cp:revision>7</cp:revision>
  <dcterms:created xsi:type="dcterms:W3CDTF">2018-11-02T08:32:00Z</dcterms:created>
  <dcterms:modified xsi:type="dcterms:W3CDTF">2019-03-13T10:49:00Z</dcterms:modified>
</cp:coreProperties>
</file>