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0" w:type="pct"/>
        <w:tblCellSpacing w:w="0" w:type="dxa"/>
        <w:tblInd w:w="-284" w:type="dxa"/>
        <w:tblCellMar>
          <w:top w:w="12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  <w:gridCol w:w="1379"/>
      </w:tblGrid>
      <w:tr w:rsidR="00906081" w:rsidRPr="00906081" w:rsidTr="00906081">
        <w:trPr>
          <w:trHeight w:val="276"/>
          <w:tblCellSpacing w:w="0" w:type="dxa"/>
        </w:trPr>
        <w:tc>
          <w:tcPr>
            <w:tcW w:w="4299" w:type="pct"/>
            <w:vAlign w:val="center"/>
            <w:hideMark/>
          </w:tcPr>
          <w:p w:rsidR="00906081" w:rsidRPr="00906081" w:rsidRDefault="00906081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6081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  <w:r w:rsidRPr="00906081">
              <w:rPr>
                <w:rFonts w:ascii="Tahoma" w:eastAsia="Times New Roman" w:hAnsi="Tahoma" w:cs="Tahoma"/>
                <w:color w:val="E30000"/>
                <w:sz w:val="28"/>
                <w:szCs w:val="28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701" w:type="pct"/>
            <w:tcMar>
              <w:top w:w="12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906081" w:rsidRPr="00906081" w:rsidRDefault="000C6E96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hyperlink r:id="rId6" w:tooltip="Главная" w:history="1">
              <w:r>
                <w:rPr>
                  <w:rFonts w:ascii="Verdana" w:eastAsia="Times New Roman" w:hAnsi="Verdana" w:cs="Times New Roman"/>
                  <w:color w:val="E30000"/>
                  <w:sz w:val="16"/>
                  <w:szCs w:val="1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sadik3.ucoz.ru/" title="&quot;Главная&quot;" style="width:24pt;height:24pt" o:button="t"/>
                </w:pict>
              </w:r>
            </w:hyperlink>
          </w:p>
        </w:tc>
      </w:tr>
      <w:tr w:rsidR="00906081" w:rsidRPr="00906081" w:rsidTr="00906081">
        <w:trPr>
          <w:tblCellSpacing w:w="0" w:type="dxa"/>
        </w:trPr>
        <w:tc>
          <w:tcPr>
            <w:tcW w:w="5000" w:type="pct"/>
            <w:gridSpan w:val="2"/>
            <w:tcMar>
              <w:top w:w="120" w:type="dxa"/>
              <w:left w:w="0" w:type="dxa"/>
              <w:bottom w:w="0" w:type="dxa"/>
              <w:right w:w="6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906081" w:rsidRPr="00906081">
              <w:trPr>
                <w:tblCellSpacing w:w="0" w:type="dxa"/>
              </w:trPr>
              <w:tc>
                <w:tcPr>
                  <w:tcW w:w="0" w:type="auto"/>
                  <w:tcMar>
                    <w:top w:w="24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ind w:left="480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Тип здания: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</w:t>
                  </w:r>
                  <w:proofErr w:type="gramStart"/>
                  <w:r w:rsidR="000C6E96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одноэтажное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Год ввода в эксплуатацию: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</w:t>
                  </w:r>
                  <w:r w:rsidR="000C6E96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1963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года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Фактическая наполняемость:</w:t>
                  </w:r>
                  <w:r w:rsidRPr="00906081">
                    <w:rPr>
                      <w:rFonts w:ascii="Georgia" w:eastAsia="Times New Roman" w:hAnsi="Georgia" w:cs="Times New Roman"/>
                      <w:color w:val="FF0000"/>
                      <w:sz w:val="17"/>
                      <w:szCs w:val="17"/>
                    </w:rPr>
                    <w:t> </w:t>
                  </w:r>
                  <w:r w:rsidR="000C6E96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25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детей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Количество групповых помещений:</w:t>
                  </w:r>
                  <w:r w:rsidRPr="00906081">
                    <w:rPr>
                      <w:rFonts w:ascii="Georgia" w:eastAsia="Times New Roman" w:hAnsi="Georgia" w:cs="Times New Roman"/>
                      <w:color w:val="FF0000"/>
                      <w:sz w:val="17"/>
                      <w:szCs w:val="17"/>
                    </w:rPr>
                    <w:t> </w:t>
                  </w:r>
                  <w:r w:rsidR="000C6E96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1</w:t>
                  </w:r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групп</w:t>
                  </w:r>
                  <w:r w:rsidR="000C6E96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а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ДОУ снабжено центральным отоплением, холодным и горячим водоснабжением, канализацией.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9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CD"/>
                      <w:sz w:val="17"/>
                    </w:rPr>
                    <w:t>В ДОУ функционируют специальные помещения: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кабинет заведующего;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пищеблок;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прачечная.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             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дств дл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я мытья посуды, стирки белья и спецодежды.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Групповые помещения ДОУ имеют отдельные спальни, санузлы, приёмные комнаты, буфетные.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Образовательная предметно-развивающая среда в группах организована в соответствии с ФГОС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учетом возрастных и индивидуальных особенностей детей.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6"/>
                      <w:szCs w:val="16"/>
                    </w:rPr>
                    <w:t>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Материально-техническое обеспечение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воспитательно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Для обеспечения физической активности детей в помещениях ДОУ музыкальный зал  совмещается со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спортивным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,  имеется необходимое стандартное физкультурное оборудование: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скамейки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,,</w:t>
                  </w:r>
                  <w:proofErr w:type="gramEnd"/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резиновые и надувные мячи,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обручи,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скакалки,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Технические средства обучения: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компьютер – 1 (с выходом в интернет);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принтер – 1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принтер+ксерокс+сканер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– 1;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об условиях питания обучающихся.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СаНПин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1 холодильник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1 морозильник, 2 разделочных столов   1 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электроплит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ы. Для хранения продуктов есть 1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помещения</w:t>
                  </w:r>
                  <w:proofErr w:type="gramStart"/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рационе детей ежедневно на завтрак - молочные каши, омлеты, бутерброды,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lastRenderedPageBreak/>
                    <w:t>чай, кофе,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кисломолочная продукция с выпечкой; на ужин - рыбные или творожные блюда. За основу составления примерного 10-дневного меню положены среднесуточные нормы питания на одного ребенка в день.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витаминов</w:t>
                  </w:r>
                  <w:proofErr w:type="gramStart"/>
                  <w:r w:rsidRPr="00906081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.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З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акупка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Бракеражная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об условиях охраны здоровья обучающихся.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  Медицинский персонал детского сада (представлен сотрудниками ГУЗ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Добровской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ведение календаря профилактических прививок,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осмотр дошкольников на энтеробиоз,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регулярный осмотр воспитанников на педикулез,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измерение антропометрических данных,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работа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бракеражной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комиссии,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В ДОУ  имеется доступ к сети Интернет по оптоволоконному каналу связи.  </w:t>
                  </w: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Информационные системы, к которым имеется доступ в ДОУ: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«Электронный детский сад»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gramStart"/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Обучающиеся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 xml:space="preserve"> ДОУ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не имеют доступа к электронным образовательным ресурсам.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 ДОУ ведутся мероприятия по соблюдению правил пожарной безопасности.</w:t>
                  </w:r>
                </w:p>
              </w:tc>
            </w:tr>
          </w:tbl>
          <w:p w:rsidR="00906081" w:rsidRPr="00906081" w:rsidRDefault="00906081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D02D57" w:rsidRPr="00906081" w:rsidRDefault="00D02D57" w:rsidP="00906081"/>
    <w:sectPr w:rsidR="00D02D57" w:rsidRPr="00906081" w:rsidSect="0002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503"/>
    <w:multiLevelType w:val="multilevel"/>
    <w:tmpl w:val="C00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42FF"/>
    <w:multiLevelType w:val="multilevel"/>
    <w:tmpl w:val="085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C32D6"/>
    <w:multiLevelType w:val="multilevel"/>
    <w:tmpl w:val="17D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61478"/>
    <w:multiLevelType w:val="multilevel"/>
    <w:tmpl w:val="FBA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0697F"/>
    <w:multiLevelType w:val="multilevel"/>
    <w:tmpl w:val="FBE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B7109"/>
    <w:multiLevelType w:val="multilevel"/>
    <w:tmpl w:val="6A84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55181"/>
    <w:multiLevelType w:val="multilevel"/>
    <w:tmpl w:val="F0B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69F"/>
    <w:rsid w:val="00026853"/>
    <w:rsid w:val="000C6E96"/>
    <w:rsid w:val="00906081"/>
    <w:rsid w:val="00D02D57"/>
    <w:rsid w:val="00D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060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ik3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4378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Мурик</cp:lastModifiedBy>
  <cp:revision>7</cp:revision>
  <dcterms:created xsi:type="dcterms:W3CDTF">2018-11-02T08:32:00Z</dcterms:created>
  <dcterms:modified xsi:type="dcterms:W3CDTF">2019-03-13T10:49:00Z</dcterms:modified>
</cp:coreProperties>
</file>